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301</w:t>
      </w:r>
    </w:p>
    <w:p>
      <w:r>
        <w:t>Bundesgericht (BGE), 2002-11-25, DE</w:t>
      </w:r>
    </w:p>
    <w:p>
      <w:r>
        <w:rPr>
          <w:b/>
        </w:rPr>
        <w:t xml:space="preserve">Quelle: </w:t>
      </w:r>
      <w:r>
        <w:t>https://mcp.opencaselaw.ch/entscheid/bge_129 III 301</w:t>
      </w:r>
    </w:p>
    <w:p>
      <w:r>
        <w:t>FR: ATF 129 III 301</w:t>
      </w:r>
    </w:p>
    <w:p>
      <w:r>
        <w:t>IT: DTF 129 III 301</w:t>
      </w:r>
    </w:p>
    <w:p>
      <w:pPr>
        <w:pStyle w:val="Heading2"/>
      </w:pPr>
      <w:r>
        <w:t>Regeste</w:t>
      </w:r>
    </w:p>
    <w:p>
      <w:r>
        <w:t>Regeste Aktienrecht; Sonderprüfung; Zivilrechtsstreitigkeit (Art. 697d Abs. 2 OR; Art. 45 und 46 OG). Das Drittverfahren, in welchem die Auskunfts- und Editionspflicht nach Art. 697d Abs. 2 OR in Frage steht, hat keine Zivilrechtsstreitigkeit zum Gegenstand (E. 1).</w:t>
      </w:r>
    </w:p>
    <w:p>
      <w:pPr>
        <w:pStyle w:val="Heading2"/>
      </w:pPr>
      <w:r>
        <w:t>Erwägungen</w:t>
      </w:r>
    </w:p>
    <w:p>
      <w:r>
        <w:rPr>
          <w:b/>
        </w:rPr>
        <w:t>E. 1</w:t>
      </w:r>
    </w:p>
    <w:p>
      <w:r>
        <w:t>Nach Art. 84 Abs. 2 OG ist die staatsrechtliche Beschwerde unzulässig, wenn die behauptete Rechtsverletzung sonst wie beim Bundesgericht gerügt werden kann (Grundsatz der absoluten Subsidiarität). Im vorliegenden Fall ist zu prüfen, ob die Beschwerdeführer den Entscheid des Handelsgerichtspräsidenten vom 12. März 2002 mit eidgenössischer Berufung ( Art. 43 ff. OG ) hätten anfechten können.</w:t>
      </w:r>
    </w:p>
    <w:p>
      <w:r>
        <w:rPr>
          <w:b/>
        </w:rPr>
        <w:t>E. 1.1</w:t>
      </w:r>
    </w:p>
    <w:p>
      <w:r>
        <w:t>Zulässig ist die staatsrechtliche Beschwerde von vornherein, soweit darin Verfassungsverletzungen geltend gemacht werden, welche sich nicht im Vorwurf einer unrichtigen Anwendung von Bundesrecht erschöpfen. Diese Rügen sind vom Berufungsverfahren ausgeschlossen ( Art. 43 Abs. 1 OG ).</w:t>
      </w:r>
    </w:p>
    <w:p>
      <w:r>
        <w:rPr>
          <w:b/>
        </w:rPr>
        <w:t>E. 1.2</w:t>
      </w:r>
    </w:p>
    <w:p>
      <w:r>
        <w:t>Soweit die Beschwerdeführer ausdrücklich oder sinngemäss eine Verletzung von Vorschriften des Bundesrechts (insbes. Art. 697a ff. OR ) geltend machen, stellt sich die Frage, ob insoweit eine die staatsrechtliche Beschwerde ausschliessende Zivilrechtsstreitigkeit gegeben ist. Sie ist zu verneinen.</w:t>
      </w:r>
    </w:p>
    <w:p>
      <w:r>
        <w:rPr>
          <w:b/>
        </w:rPr>
        <w:t>E. 1.2.1</w:t>
      </w:r>
    </w:p>
    <w:p>
      <w:r>
        <w:t>Nach dem im Lichte seiner Erwägungen ( BGE 115 II 187 E. 3c; BGE 116 II 614 E. 5a) zu verstehenden Dispositiv des Entscheids des Handelsgerichtspräsidenten vom 12. März 2002 wurde A. als Organ der Z. AG zur Auskunft über deren Beziehungen zu ihren Tochtergesellschaften verpflichtet. Darüber hinaus wurde die Sonderprüferin ermächtigt, allenfalls erforderliche Geschäftsakten bei den Tochtergesellschaften einzuverlangen. Gegenstand der staatsrechtlichen Beschwerde ist einzig diese zweite Anordnung. Die BGE 129 III 301 S. 304 X. AG als frühere Tochtergesellschaft der Z. AG, deren heutige Muttergesellschaft, die Y. AG, und A. als formell Auskunftspflichtiger widersetzen sich der Herausgabe von Geschäftsakten der X. AG im Sonderprüfungsverfahren über die Z. AG.</w:t>
      </w:r>
    </w:p>
    <w:p>
      <w:r>
        <w:rPr>
          <w:b/>
        </w:rPr>
        <w:t>E. 1.2.2</w:t>
      </w:r>
    </w:p>
    <w:p>
      <w:r>
        <w:t>Soweit hier von Interesse steht die Berufung einzig in Zivilrechtsstreitigkeiten offen ( Art. 45 und 46 OG ). Darunter versteht die Rechtsprechung im gegebenen Umfeld ein kontradiktorisches Verfahren zwischen verschiedenen Personen als Trägerinnen privater Rechte, einen Streit um Ansprüche des Bundeszivilrechts ( BGE 128 III 250 E. 1a mit Hinweisen; CORBOZ, Le recours en réforme au Tribunal fédéral, SJ 2000 II S. 1 ff., 16 f.). Art. 697a OR gibt jedem Aktionär einen an bestimmte Voraussetzungen geknüpften Anspruch auf Durchführung einer Sonderprüfung. Dieser Anspruch ist ein solcher des materiellen Bundesrechts, der Anlass zu einer Zivilrechtsstreitigkeit im Sinne von Art. 46 OG geben kann ( Art. 697b OR ; BGE 120 II 393 E. 2). Parteien dieser Zivilrechtsstreitigkeit sind die eine Sonderprüfung verlangenden Aktionäre auf der einen und die Aktiengesellschaft auf der andern Seite.</w:t>
      </w:r>
    </w:p>
    <w:p>
      <w:r>
        <w:rPr>
          <w:b/>
        </w:rPr>
        <w:t>E. 1.2.3</w:t>
      </w:r>
    </w:p>
    <w:p>
      <w:r>
        <w:t>Art. 697d Abs. 2 zählt die im Sonderprüfungsverfahren auskunftspflichtigen Personen auf und lässt im Streitfall über deren Auskunftspflicht den Richter entscheiden. Diese Personen sind persönlich weder Gläubiger noch Schuldner des Anspruchs auf Sonderprüfung, sondern Dritte, und als solche weder am Anspruch noch an der darüber angehobenen Zivilrechtsstreitigkeit beteiligt. Schuldnerin der Sonderprüfung ist allein die Aktiengesellschaft und ihr gegenüber erschöpft sich der Zivilrechtsstreit mit den Aktionären. Art. 697d Abs. 2 OR ist seinem Wesen nach eine bundesrechtliche Beweis- oder Prozessvorschrift, welche keinen privatrechtlichen Anspruch des Sonderprüfers gegenüber den auskunftspflichtigen Dritten, sondern bloss deren verfahrensbezogene Auskunfts- oder Editionspflicht begründet. Streitigkeiten über solche Pflichten in einem Drittverfahren aber sind keine Zivilrechtsstreitigkeiten im Sinne von Art. 46 OG (vgl. analog zu Art. 963 OR : BGE 55 II 203 ; BGE 71 II 244 ; BGE 93 II 60 ; KUMMER, ZBJV 105/1969 S. 75 f.; POUDRET, Commentaire de la loi fédérale d'organisation judiciaire, N. 1.2.72 und 2.3.28 ad Titre II). Damit sind sie vom Berufungsverfahren ausgeschlossen und auf die staatsrechtliche Beschwerde ist unter dem Blickwinkel deren absoluten Subsidiarität insgesamt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